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48A9" w14:textId="77777777" w:rsidR="004E40B1" w:rsidRDefault="004E40B1" w:rsidP="004E40B1">
      <w:pPr>
        <w:ind w:left="180"/>
      </w:pPr>
    </w:p>
    <w:p w14:paraId="346A66B1" w14:textId="77777777" w:rsidR="00D0052C" w:rsidRDefault="00D0052C" w:rsidP="00172E15">
      <w:bookmarkStart w:id="0" w:name="_GoBack"/>
      <w:bookmarkEnd w:id="0"/>
    </w:p>
    <w:p w14:paraId="70F273FB" w14:textId="77777777" w:rsidR="00D0052C" w:rsidRPr="00D0052C" w:rsidRDefault="00D0052C" w:rsidP="00D0052C">
      <w:pPr>
        <w:jc w:val="center"/>
        <w:rPr>
          <w:rFonts w:eastAsia="Calibri"/>
          <w:b/>
          <w:sz w:val="36"/>
          <w:szCs w:val="22"/>
        </w:rPr>
      </w:pPr>
      <w:r w:rsidRPr="00D0052C">
        <w:rPr>
          <w:rFonts w:eastAsia="Calibri"/>
          <w:b/>
          <w:sz w:val="36"/>
          <w:szCs w:val="22"/>
        </w:rPr>
        <w:t>Okaloosa County</w:t>
      </w:r>
    </w:p>
    <w:p w14:paraId="205862AA" w14:textId="77777777" w:rsidR="00D0052C" w:rsidRPr="00D0052C" w:rsidRDefault="00D0052C" w:rsidP="00D0052C">
      <w:pPr>
        <w:jc w:val="center"/>
        <w:rPr>
          <w:rFonts w:eastAsia="Calibri"/>
          <w:b/>
          <w:sz w:val="36"/>
          <w:szCs w:val="22"/>
        </w:rPr>
      </w:pPr>
      <w:r w:rsidRPr="00D0052C">
        <w:rPr>
          <w:rFonts w:eastAsia="Calibri"/>
          <w:b/>
          <w:sz w:val="36"/>
          <w:szCs w:val="22"/>
        </w:rPr>
        <w:t>Short Term Vacation Rental Safety Plan</w:t>
      </w:r>
    </w:p>
    <w:p w14:paraId="79CDDE9C" w14:textId="77777777" w:rsidR="00D0052C" w:rsidRPr="00D0052C" w:rsidRDefault="00D0052C" w:rsidP="00D0052C">
      <w:pPr>
        <w:jc w:val="center"/>
        <w:rPr>
          <w:rFonts w:eastAsia="Calibri"/>
          <w:b/>
          <w:sz w:val="16"/>
          <w:szCs w:val="22"/>
        </w:rPr>
      </w:pPr>
    </w:p>
    <w:p w14:paraId="69E1F21E" w14:textId="3EAB164B" w:rsidR="00D0052C" w:rsidRPr="00D0052C" w:rsidRDefault="00D0052C" w:rsidP="0078613B">
      <w:pPr>
        <w:autoSpaceDE w:val="0"/>
        <w:autoSpaceDN w:val="0"/>
        <w:adjustRightInd w:val="0"/>
        <w:jc w:val="both"/>
        <w:rPr>
          <w:rFonts w:eastAsia="Calibri"/>
          <w:color w:val="000000"/>
        </w:rPr>
      </w:pPr>
      <w:r w:rsidRPr="00D0052C">
        <w:rPr>
          <w:rFonts w:eastAsia="Calibri"/>
          <w:color w:val="000000"/>
        </w:rPr>
        <w:t xml:space="preserve">As a supplement to the Full Phase 1 reopening across the State of Florida, </w:t>
      </w:r>
      <w:r w:rsidR="000C2BAF">
        <w:rPr>
          <w:rFonts w:eastAsia="Calibri"/>
          <w:color w:val="000000"/>
        </w:rPr>
        <w:t xml:space="preserve">if approved </w:t>
      </w:r>
      <w:r w:rsidRPr="00D0052C">
        <w:rPr>
          <w:rFonts w:eastAsia="Calibri"/>
          <w:color w:val="000000"/>
        </w:rPr>
        <w:t>Okaloosa County will implement the following additional measures to enable vacation/short term rental units to</w:t>
      </w:r>
    </w:p>
    <w:p w14:paraId="1C125506" w14:textId="77777777" w:rsidR="00D0052C" w:rsidRPr="00D0052C" w:rsidRDefault="00D0052C" w:rsidP="0078613B">
      <w:pPr>
        <w:autoSpaceDE w:val="0"/>
        <w:autoSpaceDN w:val="0"/>
        <w:adjustRightInd w:val="0"/>
        <w:jc w:val="both"/>
        <w:rPr>
          <w:rFonts w:eastAsia="Calibri"/>
          <w:color w:val="000000"/>
        </w:rPr>
      </w:pPr>
      <w:r w:rsidRPr="00D0052C">
        <w:rPr>
          <w:rFonts w:eastAsia="Calibri"/>
          <w:color w:val="000000"/>
        </w:rPr>
        <w:t>begin taking reservations and accepting check-ins the week of May 18th:</w:t>
      </w:r>
    </w:p>
    <w:p w14:paraId="06547EC8" w14:textId="77777777" w:rsidR="00D0052C" w:rsidRPr="00D0052C" w:rsidRDefault="00D0052C" w:rsidP="0078613B">
      <w:pPr>
        <w:autoSpaceDE w:val="0"/>
        <w:autoSpaceDN w:val="0"/>
        <w:adjustRightInd w:val="0"/>
        <w:jc w:val="both"/>
        <w:rPr>
          <w:rFonts w:ascii="Calibri" w:eastAsia="Calibri" w:hAnsi="Calibri" w:cs="Calibri"/>
          <w:color w:val="000000"/>
          <w:sz w:val="16"/>
        </w:rPr>
      </w:pPr>
    </w:p>
    <w:p w14:paraId="72906996" w14:textId="7FE44912"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rPr>
      </w:pPr>
      <w:r w:rsidRPr="00D0052C">
        <w:rPr>
          <w:rFonts w:eastAsia="Calibri"/>
        </w:rPr>
        <w:t>Vacation rental reservations, from areas identified by Governor DeSantis as high risk, through Executive Orders (currently EO 20-82 New York, New Jersey, Connecticut,</w:t>
      </w:r>
      <w:r w:rsidRPr="00D0052C">
        <w:rPr>
          <w:rFonts w:ascii="Calibri" w:eastAsia="Calibri" w:hAnsi="Calibri"/>
          <w:sz w:val="22"/>
          <w:szCs w:val="22"/>
        </w:rPr>
        <w:t xml:space="preserve"> </w:t>
      </w:r>
      <w:hyperlink r:id="rId8" w:history="1">
        <w:r w:rsidRPr="00D0052C">
          <w:rPr>
            <w:rFonts w:eastAsia="Calibri"/>
            <w:color w:val="0563C1"/>
            <w:u w:val="single"/>
          </w:rPr>
          <w:t>https://www.flgov.com/wp-content/uploads/orders/2020/EO_20-82.pdf</w:t>
        </w:r>
      </w:hyperlink>
      <w:r w:rsidRPr="00D0052C">
        <w:rPr>
          <w:rFonts w:eastAsia="Calibri"/>
        </w:rPr>
        <w:t xml:space="preserve"> and EO 20-86 Louisiana </w:t>
      </w:r>
      <w:hyperlink r:id="rId9" w:history="1">
        <w:r w:rsidRPr="00D0052C">
          <w:rPr>
            <w:rFonts w:eastAsia="Calibri"/>
            <w:color w:val="0563C1"/>
            <w:u w:val="single"/>
          </w:rPr>
          <w:t>https://www.flgov.com/wp-content/uploads/orders/2020/EO_20-86.pdf</w:t>
        </w:r>
      </w:hyperlink>
      <w:r w:rsidRPr="00D0052C">
        <w:rPr>
          <w:rFonts w:eastAsia="Calibri"/>
        </w:rPr>
        <w:t xml:space="preserve">) must be for periods longer than the quarantine period established in that Order. Guests occupying those vacation rentals must adhere to the quarantine restrictions or be subject to established criminal and civil penalties.  </w:t>
      </w:r>
      <w:r w:rsidR="00774814">
        <w:rPr>
          <w:rFonts w:eastAsia="Calibri"/>
        </w:rPr>
        <w:t>For the safety of all residents and visitors, w</w:t>
      </w:r>
      <w:r w:rsidRPr="00D0052C">
        <w:rPr>
          <w:rFonts w:eastAsia="Calibri"/>
        </w:rPr>
        <w:t>e will encourage our tourism partners not to rent to guests from high-risk areas.</w:t>
      </w:r>
    </w:p>
    <w:p w14:paraId="292FA2C5" w14:textId="77777777" w:rsidR="00D0052C" w:rsidRPr="00D0052C" w:rsidRDefault="00D0052C" w:rsidP="0078613B">
      <w:pPr>
        <w:autoSpaceDE w:val="0"/>
        <w:autoSpaceDN w:val="0"/>
        <w:adjustRightInd w:val="0"/>
        <w:ind w:left="-360"/>
        <w:contextualSpacing/>
        <w:jc w:val="both"/>
        <w:rPr>
          <w:rFonts w:eastAsia="Calibri"/>
          <w:sz w:val="16"/>
        </w:rPr>
      </w:pPr>
    </w:p>
    <w:p w14:paraId="7878CB25" w14:textId="4B0CAB16" w:rsidR="00D0052C" w:rsidRPr="000C2BAF" w:rsidRDefault="00D0052C" w:rsidP="0078613B">
      <w:pPr>
        <w:numPr>
          <w:ilvl w:val="0"/>
          <w:numId w:val="22"/>
        </w:numPr>
        <w:autoSpaceDE w:val="0"/>
        <w:autoSpaceDN w:val="0"/>
        <w:adjustRightInd w:val="0"/>
        <w:spacing w:after="160" w:line="259" w:lineRule="auto"/>
        <w:ind w:left="360"/>
        <w:contextualSpacing/>
        <w:jc w:val="both"/>
        <w:rPr>
          <w:rFonts w:eastAsia="Calibri"/>
        </w:rPr>
      </w:pPr>
      <w:r w:rsidRPr="00D0052C">
        <w:rPr>
          <w:rFonts w:eastAsia="Calibri"/>
          <w:color w:val="000000"/>
        </w:rPr>
        <w:t>Property owners and managers will provide COVID-19 guidance of any local restrictions</w:t>
      </w:r>
      <w:r w:rsidR="000C2BAF">
        <w:rPr>
          <w:rFonts w:eastAsia="Calibri"/>
        </w:rPr>
        <w:t xml:space="preserve"> </w:t>
      </w:r>
      <w:r w:rsidRPr="000C2BAF">
        <w:rPr>
          <w:rFonts w:eastAsia="Calibri"/>
          <w:color w:val="000000"/>
        </w:rPr>
        <w:t xml:space="preserve">that are in place during the guest stay and other related local information. </w:t>
      </w:r>
      <w:r w:rsidR="00774814">
        <w:rPr>
          <w:rFonts w:eastAsia="Calibri"/>
          <w:color w:val="000000"/>
        </w:rPr>
        <w:t>A</w:t>
      </w:r>
      <w:r w:rsidRPr="000C2BAF">
        <w:rPr>
          <w:rFonts w:eastAsia="Calibri"/>
          <w:color w:val="000000"/>
        </w:rPr>
        <w:t xml:space="preserve">ll current information related to such restrictions </w:t>
      </w:r>
      <w:r w:rsidR="00774814">
        <w:rPr>
          <w:rFonts w:eastAsia="Calibri"/>
          <w:color w:val="000000"/>
        </w:rPr>
        <w:t>are posted on the County’s website and is</w:t>
      </w:r>
      <w:r w:rsidRPr="000C2BAF">
        <w:rPr>
          <w:rFonts w:eastAsia="Calibri"/>
          <w:color w:val="000000"/>
        </w:rPr>
        <w:t xml:space="preserve"> easily</w:t>
      </w:r>
      <w:r w:rsidR="000C2BAF">
        <w:rPr>
          <w:rFonts w:eastAsia="Calibri"/>
        </w:rPr>
        <w:t xml:space="preserve"> </w:t>
      </w:r>
      <w:r w:rsidRPr="000C2BAF">
        <w:rPr>
          <w:rFonts w:eastAsia="Calibri"/>
          <w:color w:val="000000"/>
        </w:rPr>
        <w:t>accessible to lodging operators and guests 24/7 (</w:t>
      </w:r>
      <w:r w:rsidRPr="000C2BAF">
        <w:rPr>
          <w:rFonts w:ascii="Calibri" w:eastAsia="Calibri" w:hAnsi="Calibri"/>
          <w:sz w:val="22"/>
          <w:szCs w:val="22"/>
        </w:rPr>
        <w:t xml:space="preserve"> </w:t>
      </w:r>
      <w:hyperlink r:id="rId10" w:history="1">
        <w:r w:rsidRPr="000C2BAF">
          <w:rPr>
            <w:rFonts w:eastAsia="Calibri"/>
            <w:color w:val="5B9BD5"/>
            <w:u w:val="single"/>
            <w14:textFill>
              <w14:solidFill>
                <w14:srgbClr w14:val="5B9BD5">
                  <w14:lumMod w14:val="75000"/>
                </w14:srgbClr>
              </w14:solidFill>
            </w14:textFill>
          </w:rPr>
          <w:t>http://www.co.okaloosa.fl.us/bcc/covid-19</w:t>
        </w:r>
      </w:hyperlink>
      <w:r w:rsidRPr="000C2BAF">
        <w:rPr>
          <w:rFonts w:eastAsia="Calibri"/>
          <w:color w:val="000000"/>
        </w:rPr>
        <w:t>)</w:t>
      </w:r>
      <w:r w:rsidR="00774814">
        <w:rPr>
          <w:rFonts w:eastAsia="Calibri"/>
          <w:color w:val="000000"/>
        </w:rPr>
        <w:t xml:space="preserve">. </w:t>
      </w:r>
    </w:p>
    <w:p w14:paraId="4D163BF5" w14:textId="77777777" w:rsidR="00D0052C" w:rsidRPr="00D0052C" w:rsidRDefault="00D0052C" w:rsidP="0078613B">
      <w:pPr>
        <w:autoSpaceDE w:val="0"/>
        <w:autoSpaceDN w:val="0"/>
        <w:adjustRightInd w:val="0"/>
        <w:ind w:left="-360"/>
        <w:contextualSpacing/>
        <w:jc w:val="both"/>
        <w:rPr>
          <w:rFonts w:eastAsia="Calibri"/>
          <w:color w:val="000000"/>
          <w:sz w:val="16"/>
        </w:rPr>
      </w:pPr>
    </w:p>
    <w:p w14:paraId="69070709" w14:textId="400C3ACB"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will adhere to all Department of Business and Professional Regulation (DBPR) sanitation guidelines already in place as addressed under </w:t>
      </w:r>
      <w:hyperlink r:id="rId11" w:tgtFrame="_blank" w:history="1">
        <w:r w:rsidRPr="00D0052C">
          <w:rPr>
            <w:color w:val="0000FF"/>
            <w:u w:val="single"/>
          </w:rPr>
          <w:t>61C-3.001 Sanitation and Safety Requirements of the transient lodging statutes</w:t>
        </w:r>
      </w:hyperlink>
      <w:r w:rsidRPr="00D0052C">
        <w:rPr>
          <w:rFonts w:eastAsia="Calibri"/>
          <w:color w:val="000000"/>
        </w:rPr>
        <w:t xml:space="preserve">.  Additionally, </w:t>
      </w:r>
      <w:r w:rsidR="00774814">
        <w:rPr>
          <w:rFonts w:eastAsia="Calibri"/>
        </w:rPr>
        <w:t>t</w:t>
      </w:r>
      <w:r w:rsidRPr="00D0052C">
        <w:rPr>
          <w:rFonts w:eastAsia="Calibri"/>
        </w:rPr>
        <w:t>he May 1</w:t>
      </w:r>
      <w:r w:rsidRPr="00D0052C">
        <w:rPr>
          <w:rFonts w:eastAsia="Calibri"/>
          <w:vertAlign w:val="superscript"/>
        </w:rPr>
        <w:t>st</w:t>
      </w:r>
      <w:r w:rsidRPr="00D0052C">
        <w:rPr>
          <w:rFonts w:eastAsia="Calibri"/>
        </w:rPr>
        <w:t xml:space="preserve"> COVID-19 guidelines issued by the Vacation Rental Housekeeping Professionals (VRHP) and the Vacation Rental Management Association (VRMA)  </w:t>
      </w:r>
      <w:hyperlink r:id="rId12" w:history="1">
        <w:r w:rsidRPr="00D0052C">
          <w:rPr>
            <w:rFonts w:ascii="Calibri" w:eastAsia="Calibri" w:hAnsi="Calibri"/>
            <w:color w:val="0000FF"/>
            <w:sz w:val="22"/>
            <w:szCs w:val="22"/>
            <w:u w:val="single"/>
          </w:rPr>
          <w:t>https://www.vrma.org/page/vrhp/vrma-cleaning-guidelines-for-covid-19</w:t>
        </w:r>
      </w:hyperlink>
      <w:r w:rsidRPr="00D0052C">
        <w:rPr>
          <w:rFonts w:eastAsia="Calibri"/>
        </w:rPr>
        <w:t xml:space="preserve">  </w:t>
      </w:r>
      <w:r w:rsidR="00774814">
        <w:rPr>
          <w:rFonts w:eastAsia="Calibri"/>
        </w:rPr>
        <w:t xml:space="preserve">shall be adhered to and </w:t>
      </w:r>
      <w:r w:rsidRPr="00D0052C">
        <w:rPr>
          <w:rFonts w:eastAsia="Calibri"/>
        </w:rPr>
        <w:t>are included herein by reference.</w:t>
      </w:r>
    </w:p>
    <w:p w14:paraId="4DA5C6BA" w14:textId="77777777" w:rsidR="00D0052C" w:rsidRPr="00D0052C" w:rsidRDefault="00D0052C" w:rsidP="0078613B">
      <w:pPr>
        <w:autoSpaceDE w:val="0"/>
        <w:autoSpaceDN w:val="0"/>
        <w:adjustRightInd w:val="0"/>
        <w:jc w:val="both"/>
        <w:rPr>
          <w:rFonts w:eastAsia="Calibri"/>
          <w:color w:val="000000"/>
          <w:sz w:val="16"/>
        </w:rPr>
      </w:pPr>
    </w:p>
    <w:p w14:paraId="16D70E4A" w14:textId="30384262" w:rsidR="00D0052C" w:rsidRPr="00774814" w:rsidRDefault="00D0052C" w:rsidP="00774814">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will follow the </w:t>
      </w:r>
      <w:hyperlink r:id="rId13" w:tgtFrame="_blank" w:history="1">
        <w:r w:rsidRPr="00D0052C">
          <w:rPr>
            <w:color w:val="0000FF"/>
            <w:u w:val="single"/>
          </w:rPr>
          <w:t xml:space="preserve">CDC related guidelines </w:t>
        </w:r>
        <w:r w:rsidR="00774814">
          <w:rPr>
            <w:color w:val="0000FF"/>
            <w:u w:val="single"/>
          </w:rPr>
          <w:t>applicable to</w:t>
        </w:r>
        <w:r w:rsidRPr="00D0052C">
          <w:rPr>
            <w:color w:val="0000FF"/>
            <w:u w:val="single"/>
          </w:rPr>
          <w:t xml:space="preserve"> public spaces, businesses, schools and homes</w:t>
        </w:r>
      </w:hyperlink>
      <w:r w:rsidRPr="00D0052C">
        <w:rPr>
          <w:rFonts w:eastAsia="Calibri"/>
          <w:color w:val="0000FF"/>
        </w:rPr>
        <w:t xml:space="preserve"> </w:t>
      </w:r>
      <w:r w:rsidRPr="00D0052C">
        <w:rPr>
          <w:rFonts w:eastAsia="Calibri"/>
          <w:color w:val="000000"/>
        </w:rPr>
        <w:t>which expand upon the State of Florida &amp; DBPR</w:t>
      </w:r>
      <w:r w:rsidR="00774814">
        <w:rPr>
          <w:rFonts w:eastAsia="Calibri"/>
          <w:color w:val="000000"/>
        </w:rPr>
        <w:t xml:space="preserve"> </w:t>
      </w:r>
      <w:r w:rsidRPr="00774814">
        <w:rPr>
          <w:rFonts w:eastAsia="Calibri"/>
          <w:color w:val="000000"/>
        </w:rPr>
        <w:t>requirements already in place for safety and sanitation for all lodging.</w:t>
      </w:r>
    </w:p>
    <w:p w14:paraId="534BD977" w14:textId="77777777" w:rsidR="00D0052C" w:rsidRPr="00D0052C" w:rsidRDefault="00D0052C" w:rsidP="0078613B">
      <w:pPr>
        <w:autoSpaceDE w:val="0"/>
        <w:autoSpaceDN w:val="0"/>
        <w:adjustRightInd w:val="0"/>
        <w:jc w:val="both"/>
        <w:rPr>
          <w:rFonts w:eastAsia="Calibri"/>
          <w:color w:val="000000"/>
          <w:sz w:val="16"/>
        </w:rPr>
      </w:pPr>
    </w:p>
    <w:p w14:paraId="1FE286FE" w14:textId="6BFAD460"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Lodging </w:t>
      </w:r>
      <w:r w:rsidR="00A3334C">
        <w:rPr>
          <w:rFonts w:eastAsia="Calibri"/>
          <w:color w:val="000000"/>
        </w:rPr>
        <w:t xml:space="preserve">establishments </w:t>
      </w:r>
      <w:r w:rsidRPr="00D0052C">
        <w:rPr>
          <w:rFonts w:eastAsia="Calibri"/>
          <w:color w:val="000000"/>
        </w:rPr>
        <w:t>should be allowed flexible time between stays based upon the use of CDC cleaning and sanitization procedures. Lodging units being cleaned are all different and some will take more time or less time, depending upon the size of the unit being sanitized.</w:t>
      </w:r>
    </w:p>
    <w:p w14:paraId="5061932B" w14:textId="77777777" w:rsidR="00D0052C" w:rsidRPr="00D0052C" w:rsidRDefault="00D0052C" w:rsidP="0078613B">
      <w:pPr>
        <w:autoSpaceDE w:val="0"/>
        <w:autoSpaceDN w:val="0"/>
        <w:adjustRightInd w:val="0"/>
        <w:jc w:val="both"/>
        <w:rPr>
          <w:rFonts w:eastAsia="Calibri"/>
          <w:color w:val="000000"/>
          <w:sz w:val="16"/>
        </w:rPr>
      </w:pPr>
    </w:p>
    <w:p w14:paraId="4A57AABE" w14:textId="77777777" w:rsidR="00D0052C" w:rsidRPr="00D0052C" w:rsidRDefault="00D0052C" w:rsidP="0078613B">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Signage will be placed at each property highlighting the cleaning protocols between stays.</w:t>
      </w:r>
    </w:p>
    <w:p w14:paraId="203E17DD" w14:textId="77777777" w:rsidR="00D0052C" w:rsidRPr="00D0052C" w:rsidRDefault="00D0052C" w:rsidP="0078613B">
      <w:pPr>
        <w:autoSpaceDE w:val="0"/>
        <w:autoSpaceDN w:val="0"/>
        <w:adjustRightInd w:val="0"/>
        <w:jc w:val="both"/>
        <w:rPr>
          <w:rFonts w:eastAsia="Calibri"/>
          <w:color w:val="000000"/>
          <w:sz w:val="16"/>
        </w:rPr>
      </w:pPr>
    </w:p>
    <w:p w14:paraId="18DDA306" w14:textId="5EF9784C" w:rsidR="00D0052C" w:rsidRPr="0078613B" w:rsidRDefault="00D0052C" w:rsidP="0078613B">
      <w:pPr>
        <w:pStyle w:val="ListParagraph"/>
        <w:numPr>
          <w:ilvl w:val="0"/>
          <w:numId w:val="23"/>
        </w:numPr>
        <w:autoSpaceDE w:val="0"/>
        <w:autoSpaceDN w:val="0"/>
        <w:adjustRightInd w:val="0"/>
        <w:ind w:left="360"/>
        <w:rPr>
          <w:rFonts w:eastAsia="Calibri"/>
          <w:color w:val="000000"/>
        </w:rPr>
      </w:pPr>
      <w:r w:rsidRPr="0078613B">
        <w:rPr>
          <w:rFonts w:eastAsia="Calibri"/>
          <w:color w:val="000000"/>
        </w:rPr>
        <w:t xml:space="preserve">Property owners and managers should supply any and all employees or contractors with </w:t>
      </w:r>
      <w:hyperlink r:id="rId14" w:tgtFrame="_blank" w:history="1">
        <w:r w:rsidRPr="0078613B">
          <w:rPr>
            <w:color w:val="0000FF"/>
            <w:u w:val="single"/>
          </w:rPr>
          <w:t>CDC related safety guidance</w:t>
        </w:r>
      </w:hyperlink>
      <w:r w:rsidRPr="0078613B">
        <w:rPr>
          <w:rFonts w:eastAsia="Calibri"/>
          <w:color w:val="0000FF"/>
        </w:rPr>
        <w:t xml:space="preserve"> </w:t>
      </w:r>
      <w:r w:rsidRPr="0078613B">
        <w:rPr>
          <w:rFonts w:eastAsia="Calibri"/>
          <w:color w:val="000000"/>
        </w:rPr>
        <w:t>while operating in the short-term rental industry units to alleviate the transmission of the virus and provide further protection for employees and</w:t>
      </w:r>
      <w:r w:rsidR="00774814" w:rsidRPr="0078613B">
        <w:rPr>
          <w:rFonts w:eastAsia="Calibri"/>
          <w:color w:val="000000"/>
        </w:rPr>
        <w:t xml:space="preserve"> </w:t>
      </w:r>
      <w:r w:rsidRPr="0078613B">
        <w:rPr>
          <w:rFonts w:eastAsia="Calibri"/>
          <w:color w:val="000000"/>
        </w:rPr>
        <w:t>guests.</w:t>
      </w:r>
    </w:p>
    <w:p w14:paraId="09C3D408" w14:textId="77777777" w:rsidR="00D0052C" w:rsidRPr="00D0052C" w:rsidRDefault="00D0052C" w:rsidP="0078613B">
      <w:pPr>
        <w:autoSpaceDE w:val="0"/>
        <w:autoSpaceDN w:val="0"/>
        <w:adjustRightInd w:val="0"/>
        <w:rPr>
          <w:rFonts w:eastAsia="Calibri"/>
          <w:color w:val="000000"/>
          <w:sz w:val="16"/>
        </w:rPr>
      </w:pPr>
    </w:p>
    <w:p w14:paraId="695805DC" w14:textId="2813AA97" w:rsidR="00D0052C" w:rsidRPr="0078613B" w:rsidRDefault="00D0052C" w:rsidP="0078613B">
      <w:pPr>
        <w:pStyle w:val="ListParagraph"/>
        <w:numPr>
          <w:ilvl w:val="0"/>
          <w:numId w:val="23"/>
        </w:numPr>
        <w:autoSpaceDE w:val="0"/>
        <w:autoSpaceDN w:val="0"/>
        <w:adjustRightInd w:val="0"/>
        <w:ind w:left="360"/>
        <w:rPr>
          <w:rFonts w:eastAsia="Calibri"/>
          <w:color w:val="000000"/>
        </w:rPr>
      </w:pPr>
      <w:r w:rsidRPr="0078613B">
        <w:rPr>
          <w:rFonts w:eastAsia="Calibri"/>
          <w:color w:val="000000"/>
        </w:rPr>
        <w:t xml:space="preserve">Property owners and managers should supply guests with </w:t>
      </w:r>
      <w:hyperlink r:id="rId15" w:tgtFrame="_blank" w:history="1">
        <w:r w:rsidRPr="0078613B">
          <w:rPr>
            <w:color w:val="3366FF"/>
            <w:u w:val="single"/>
          </w:rPr>
          <w:t>CDC guidance</w:t>
        </w:r>
      </w:hyperlink>
      <w:r w:rsidRPr="0078613B">
        <w:rPr>
          <w:rFonts w:eastAsia="Calibri"/>
          <w:color w:val="3366FF"/>
        </w:rPr>
        <w:t xml:space="preserve"> </w:t>
      </w:r>
      <w:r w:rsidRPr="0078613B">
        <w:rPr>
          <w:rFonts w:eastAsia="Calibri"/>
          <w:color w:val="000000"/>
        </w:rPr>
        <w:t>for guests</w:t>
      </w:r>
      <w:r w:rsidR="000C2BAF" w:rsidRPr="0078613B">
        <w:rPr>
          <w:rFonts w:eastAsia="Calibri"/>
          <w:color w:val="000000"/>
        </w:rPr>
        <w:t xml:space="preserve"> </w:t>
      </w:r>
      <w:r w:rsidRPr="0078613B">
        <w:rPr>
          <w:rFonts w:eastAsia="Calibri"/>
          <w:color w:val="000000"/>
        </w:rPr>
        <w:t>traveling with pets and service/assistance animals if the property is pet friendly.</w:t>
      </w:r>
    </w:p>
    <w:p w14:paraId="70E5A801" w14:textId="77777777" w:rsidR="00D0052C" w:rsidRPr="00D0052C" w:rsidRDefault="00D0052C" w:rsidP="0078613B">
      <w:pPr>
        <w:autoSpaceDE w:val="0"/>
        <w:autoSpaceDN w:val="0"/>
        <w:adjustRightInd w:val="0"/>
        <w:rPr>
          <w:rFonts w:eastAsia="Calibri"/>
          <w:color w:val="000000"/>
          <w:sz w:val="16"/>
        </w:rPr>
      </w:pPr>
    </w:p>
    <w:p w14:paraId="7F8A623E" w14:textId="0AA0E6CB" w:rsidR="000C2BAF" w:rsidRPr="000C2BAF" w:rsidRDefault="00D0052C" w:rsidP="000C2BAF">
      <w:pPr>
        <w:numPr>
          <w:ilvl w:val="0"/>
          <w:numId w:val="22"/>
        </w:numPr>
        <w:autoSpaceDE w:val="0"/>
        <w:autoSpaceDN w:val="0"/>
        <w:adjustRightInd w:val="0"/>
        <w:spacing w:after="160" w:line="259" w:lineRule="auto"/>
        <w:ind w:left="360"/>
        <w:contextualSpacing/>
        <w:jc w:val="both"/>
        <w:rPr>
          <w:rFonts w:eastAsia="Calibri"/>
          <w:color w:val="000000"/>
        </w:rPr>
      </w:pPr>
      <w:r w:rsidRPr="00D0052C">
        <w:rPr>
          <w:rFonts w:eastAsia="Calibri"/>
          <w:color w:val="000000"/>
        </w:rPr>
        <w:t xml:space="preserve">Property owners and managers should also share </w:t>
      </w:r>
      <w:hyperlink r:id="rId16" w:tgtFrame="_blank" w:history="1">
        <w:r w:rsidRPr="00D0052C">
          <w:rPr>
            <w:color w:val="3366FF"/>
            <w:u w:val="single"/>
          </w:rPr>
          <w:t>CDC resources</w:t>
        </w:r>
      </w:hyperlink>
      <w:r w:rsidRPr="00D0052C">
        <w:rPr>
          <w:rFonts w:eastAsia="Calibri"/>
          <w:color w:val="3366FF"/>
        </w:rPr>
        <w:t xml:space="preserve"> </w:t>
      </w:r>
      <w:r w:rsidRPr="00D0052C">
        <w:rPr>
          <w:rFonts w:eastAsia="Calibri"/>
          <w:color w:val="000000"/>
        </w:rPr>
        <w:t>to any guest while</w:t>
      </w:r>
      <w:r w:rsidR="000C2BAF">
        <w:rPr>
          <w:rFonts w:eastAsia="Calibri"/>
          <w:color w:val="000000"/>
        </w:rPr>
        <w:t xml:space="preserve"> </w:t>
      </w:r>
      <w:r w:rsidRPr="000C2BAF">
        <w:rPr>
          <w:rFonts w:eastAsia="Calibri"/>
          <w:color w:val="000000"/>
        </w:rPr>
        <w:t>staying in their units. These resources are available in multiple languages at the CDC</w:t>
      </w:r>
      <w:r w:rsidR="000C2BAF">
        <w:rPr>
          <w:rFonts w:eastAsia="Calibri"/>
          <w:color w:val="000000"/>
        </w:rPr>
        <w:t xml:space="preserve"> </w:t>
      </w:r>
      <w:r w:rsidRPr="000C2BAF">
        <w:rPr>
          <w:rFonts w:eastAsia="Calibri"/>
          <w:color w:val="000000"/>
        </w:rPr>
        <w:t>website.</w:t>
      </w:r>
    </w:p>
    <w:p w14:paraId="022588BB" w14:textId="77777777" w:rsidR="00D0052C" w:rsidRPr="005E1C08" w:rsidRDefault="00D0052C" w:rsidP="00D0052C">
      <w:pPr>
        <w:autoSpaceDE w:val="0"/>
        <w:autoSpaceDN w:val="0"/>
        <w:adjustRightInd w:val="0"/>
        <w:ind w:left="1080" w:firstLine="360"/>
        <w:contextualSpacing/>
      </w:pPr>
      <w:r w:rsidRPr="00D0052C">
        <w:rPr>
          <w:rFonts w:eastAsia="Calibri"/>
          <w:color w:val="000000"/>
        </w:rPr>
        <w:t>This plan will be reviewed at least bi-weekly and updated as necessary.</w:t>
      </w:r>
    </w:p>
    <w:sectPr w:rsidR="00D0052C" w:rsidRPr="005E1C08" w:rsidSect="00D0052C">
      <w:headerReference w:type="default" r:id="rId17"/>
      <w:footerReference w:type="default" r:id="rId18"/>
      <w:pgSz w:w="12240" w:h="15840" w:code="1"/>
      <w:pgMar w:top="1152" w:right="1008" w:bottom="720"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9E27" w16cex:dateUtc="2020-05-16T0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19BC" w14:textId="77777777" w:rsidR="008B4AC8" w:rsidRDefault="008B4AC8">
      <w:r>
        <w:separator/>
      </w:r>
    </w:p>
  </w:endnote>
  <w:endnote w:type="continuationSeparator" w:id="0">
    <w:p w14:paraId="09836D4D" w14:textId="77777777" w:rsidR="008B4AC8" w:rsidRDefault="008B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9D01" w14:textId="77777777" w:rsidR="00E24D3B" w:rsidRPr="00247B71" w:rsidRDefault="00E24D3B" w:rsidP="00C46147">
    <w:pPr>
      <w:pStyle w:val="ListParagraph"/>
      <w:numPr>
        <w:ilvl w:val="0"/>
        <w:numId w:val="21"/>
      </w:numPr>
      <w:tabs>
        <w:tab w:val="left" w:pos="810"/>
      </w:tabs>
      <w:ind w:left="810" w:hanging="270"/>
      <w:rPr>
        <w:sz w:val="18"/>
      </w:rPr>
    </w:pPr>
    <w:r>
      <w:rPr>
        <w:sz w:val="18"/>
      </w:rPr>
      <w:t>1250 N. Eglin Pkwy</w:t>
    </w:r>
    <w:r w:rsidR="00C46147">
      <w:rPr>
        <w:sz w:val="18"/>
      </w:rPr>
      <w:t>, Suite 10</w:t>
    </w:r>
    <w:r w:rsidR="009B1F49">
      <w:rPr>
        <w:sz w:val="18"/>
      </w:rPr>
      <w:t>0</w:t>
    </w:r>
    <w:r>
      <w:rPr>
        <w:sz w:val="18"/>
      </w:rPr>
      <w:t xml:space="preserve"> </w:t>
    </w:r>
    <w:r>
      <w:rPr>
        <w:sz w:val="18"/>
      </w:rPr>
      <w:sym w:font="Symbol" w:char="F0B7"/>
    </w:r>
    <w:r>
      <w:rPr>
        <w:sz w:val="18"/>
      </w:rPr>
      <w:t xml:space="preserve"> Shalimar, FL 32579</w:t>
    </w:r>
    <w:r w:rsidR="00247B71">
      <w:rPr>
        <w:sz w:val="18"/>
      </w:rPr>
      <w:t xml:space="preserve"> </w:t>
    </w:r>
    <w:r>
      <w:rPr>
        <w:sz w:val="18"/>
      </w:rPr>
      <w:sym w:font="Symbol" w:char="F0B7"/>
    </w:r>
    <w:r w:rsidR="00247B71">
      <w:rPr>
        <w:sz w:val="18"/>
      </w:rPr>
      <w:t xml:space="preserve"> </w:t>
    </w:r>
    <w:r>
      <w:rPr>
        <w:sz w:val="18"/>
      </w:rPr>
      <w:t>(850) 651-7105</w:t>
    </w:r>
    <w:r w:rsidR="00247B71">
      <w:rPr>
        <w:sz w:val="18"/>
      </w:rPr>
      <w:t xml:space="preserve"> </w:t>
    </w:r>
    <w:r>
      <w:rPr>
        <w:sz w:val="18"/>
      </w:rPr>
      <w:sym w:font="Symbol" w:char="F0B7"/>
    </w:r>
    <w:r w:rsidR="00247B71">
      <w:rPr>
        <w:sz w:val="18"/>
      </w:rPr>
      <w:t xml:space="preserve"> </w:t>
    </w:r>
    <w:r>
      <w:rPr>
        <w:sz w:val="18"/>
      </w:rPr>
      <w:t>Fax: 651-7142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9BC4" w14:textId="77777777" w:rsidR="008B4AC8" w:rsidRDefault="008B4AC8">
      <w:r>
        <w:separator/>
      </w:r>
    </w:p>
  </w:footnote>
  <w:footnote w:type="continuationSeparator" w:id="0">
    <w:p w14:paraId="1BFBDF9D" w14:textId="77777777" w:rsidR="008B4AC8" w:rsidRDefault="008B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FE05" w14:textId="77777777" w:rsidR="00247B71" w:rsidRPr="00BB0EB5" w:rsidRDefault="00F45CAE">
    <w:pPr>
      <w:pStyle w:val="Header"/>
      <w:jc w:val="center"/>
      <w:rPr>
        <w:rFonts w:ascii="Georgia" w:hAnsi="Georgia"/>
        <w:b/>
        <w:bCs/>
        <w:sz w:val="20"/>
        <w:szCs w:val="20"/>
      </w:rPr>
    </w:pPr>
    <w:r>
      <w:rPr>
        <w:rFonts w:ascii="Georgia" w:hAnsi="Georgia"/>
        <w:b/>
        <w:bCs/>
        <w:noProof/>
        <w:sz w:val="40"/>
      </w:rPr>
      <mc:AlternateContent>
        <mc:Choice Requires="wps">
          <w:drawing>
            <wp:anchor distT="0" distB="0" distL="114300" distR="114300" simplePos="0" relativeHeight="251662336" behindDoc="0" locked="0" layoutInCell="1" allowOverlap="1" wp14:anchorId="1C7129A4" wp14:editId="3C574648">
              <wp:simplePos x="0" y="0"/>
              <wp:positionH relativeFrom="column">
                <wp:posOffset>-1000125</wp:posOffset>
              </wp:positionH>
              <wp:positionV relativeFrom="paragraph">
                <wp:posOffset>-148590</wp:posOffset>
              </wp:positionV>
              <wp:extent cx="2004060" cy="127635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AAF37" w14:textId="77777777" w:rsidR="00247B71" w:rsidRPr="00494367" w:rsidRDefault="00247B71" w:rsidP="004B7275">
                          <w:r>
                            <w:rPr>
                              <w:noProof/>
                            </w:rPr>
                            <w:drawing>
                              <wp:inline distT="0" distB="0" distL="0" distR="0" wp14:anchorId="63DDC3CE" wp14:editId="2E969452">
                                <wp:extent cx="1704975" cy="1262797"/>
                                <wp:effectExtent l="19050" t="0" r="9525" b="0"/>
                                <wp:docPr id="8" name="Picture 3" descr="100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 Logo.png"/>
                                        <pic:cNvPicPr/>
                                      </pic:nvPicPr>
                                      <pic:blipFill>
                                        <a:blip r:embed="rId1"/>
                                        <a:stretch>
                                          <a:fillRect/>
                                        </a:stretch>
                                      </pic:blipFill>
                                      <pic:spPr>
                                        <a:xfrm>
                                          <a:off x="0" y="0"/>
                                          <a:ext cx="1704975" cy="12627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29A4" id="_x0000_t202" coordsize="21600,21600" o:spt="202" path="m,l,21600r21600,l21600,xe">
              <v:stroke joinstyle="miter"/>
              <v:path gradientshapeok="t" o:connecttype="rect"/>
            </v:shapetype>
            <v:shape id="Text Box 8" o:spid="_x0000_s1026" type="#_x0000_t202" style="position:absolute;left:0;text-align:left;margin-left:-78.75pt;margin-top:-11.7pt;width:157.8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q0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" stroked="f">
              <v:textbox>
                <w:txbxContent>
                  <w:p w14:paraId="220AAF37" w14:textId="77777777" w:rsidR="00247B71" w:rsidRPr="00494367" w:rsidRDefault="00247B71" w:rsidP="004B7275">
                    <w:r>
                      <w:rPr>
                        <w:noProof/>
                      </w:rPr>
                      <w:drawing>
                        <wp:inline distT="0" distB="0" distL="0" distR="0" wp14:anchorId="63DDC3CE" wp14:editId="2E969452">
                          <wp:extent cx="1704975" cy="1262797"/>
                          <wp:effectExtent l="19050" t="0" r="9525" b="0"/>
                          <wp:docPr id="8" name="Picture 3" descr="100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Year Logo.png"/>
                                  <pic:cNvPicPr/>
                                </pic:nvPicPr>
                                <pic:blipFill>
                                  <a:blip r:embed="rId1"/>
                                  <a:stretch>
                                    <a:fillRect/>
                                  </a:stretch>
                                </pic:blipFill>
                                <pic:spPr>
                                  <a:xfrm>
                                    <a:off x="0" y="0"/>
                                    <a:ext cx="1704975" cy="1262797"/>
                                  </a:xfrm>
                                  <a:prstGeom prst="rect">
                                    <a:avLst/>
                                  </a:prstGeom>
                                </pic:spPr>
                              </pic:pic>
                            </a:graphicData>
                          </a:graphic>
                        </wp:inline>
                      </w:drawing>
                    </w:r>
                  </w:p>
                </w:txbxContent>
              </v:textbox>
            </v:shape>
          </w:pict>
        </mc:Fallback>
      </mc:AlternateContent>
    </w:r>
    <w:r w:rsidR="00247B71" w:rsidRPr="00BB0EB5">
      <w:rPr>
        <w:rFonts w:ascii="Georgia" w:hAnsi="Georgia"/>
        <w:b/>
        <w:bCs/>
        <w:sz w:val="20"/>
        <w:szCs w:val="20"/>
      </w:rPr>
      <w:t xml:space="preserve">            </w:t>
    </w:r>
  </w:p>
  <w:p w14:paraId="5F491334" w14:textId="77777777" w:rsidR="00247B71" w:rsidRPr="00F066B7" w:rsidRDefault="00247B71">
    <w:pPr>
      <w:pStyle w:val="Header"/>
      <w:jc w:val="center"/>
      <w:rPr>
        <w:rFonts w:ascii="Georgia" w:hAnsi="Georgia"/>
        <w:b/>
        <w:bCs/>
        <w:sz w:val="44"/>
        <w:szCs w:val="44"/>
      </w:rPr>
    </w:pPr>
    <w:r>
      <w:rPr>
        <w:rFonts w:ascii="Georgia" w:hAnsi="Georgia"/>
        <w:b/>
        <w:bCs/>
        <w:sz w:val="40"/>
      </w:rPr>
      <w:t xml:space="preserve">       </w:t>
    </w:r>
    <w:r w:rsidR="0088760E">
      <w:rPr>
        <w:rFonts w:ascii="Georgia" w:hAnsi="Georgia"/>
        <w:b/>
        <w:bCs/>
        <w:sz w:val="40"/>
      </w:rPr>
      <w:t xml:space="preserve">             </w:t>
    </w:r>
    <w:r>
      <w:rPr>
        <w:rFonts w:ascii="Georgia" w:hAnsi="Georgia"/>
        <w:b/>
        <w:bCs/>
        <w:sz w:val="40"/>
      </w:rPr>
      <w:t xml:space="preserve"> </w:t>
    </w:r>
    <w:r w:rsidR="00973A27">
      <w:rPr>
        <w:rFonts w:ascii="Georgia" w:hAnsi="Georgia"/>
        <w:b/>
        <w:bCs/>
        <w:sz w:val="40"/>
      </w:rPr>
      <w:t>Office of the County Administrator</w:t>
    </w:r>
  </w:p>
  <w:p w14:paraId="1172A8CE" w14:textId="77777777" w:rsidR="00247B71" w:rsidRPr="00BB0EB5" w:rsidRDefault="00F45CAE">
    <w:pPr>
      <w:pStyle w:val="Heade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14:anchorId="7B2FF97E" wp14:editId="7A833F98">
              <wp:simplePos x="0" y="0"/>
              <wp:positionH relativeFrom="column">
                <wp:posOffset>457200</wp:posOffset>
              </wp:positionH>
              <wp:positionV relativeFrom="paragraph">
                <wp:posOffset>106680</wp:posOffset>
              </wp:positionV>
              <wp:extent cx="0" cy="0"/>
              <wp:effectExtent l="952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EEA800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182BAEEB" wp14:editId="5EE23B38">
              <wp:simplePos x="0" y="0"/>
              <wp:positionH relativeFrom="column">
                <wp:posOffset>638175</wp:posOffset>
              </wp:positionH>
              <wp:positionV relativeFrom="paragraph">
                <wp:posOffset>208915</wp:posOffset>
              </wp:positionV>
              <wp:extent cx="581025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C27C5A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6.45pt" to="50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oqEAIAACg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" strokeweight=".5pt"/>
          </w:pict>
        </mc:Fallback>
      </mc:AlternateContent>
    </w:r>
    <w:r w:rsidR="00247B71" w:rsidRPr="00BB0EB5">
      <w:rPr>
        <w:sz w:val="20"/>
        <w:szCs w:val="20"/>
      </w:rPr>
      <w:t xml:space="preserve">            </w:t>
    </w:r>
  </w:p>
  <w:p w14:paraId="76C2A46D" w14:textId="77777777" w:rsidR="00247B71" w:rsidRDefault="00F45CAE">
    <w:pPr>
      <w:pStyle w:val="Header"/>
      <w:jc w:val="center"/>
      <w:rPr>
        <w:b/>
        <w:bCs/>
      </w:rPr>
    </w:pPr>
    <w:r>
      <w:rPr>
        <w:noProof/>
        <w:sz w:val="20"/>
        <w:szCs w:val="20"/>
      </w:rPr>
      <mc:AlternateContent>
        <mc:Choice Requires="wps">
          <w:drawing>
            <wp:anchor distT="0" distB="0" distL="114300" distR="114300" simplePos="0" relativeHeight="251657216" behindDoc="0" locked="0" layoutInCell="1" allowOverlap="1" wp14:anchorId="2806C8FC" wp14:editId="275925C5">
              <wp:simplePos x="0" y="0"/>
              <wp:positionH relativeFrom="column">
                <wp:posOffset>638175</wp:posOffset>
              </wp:positionH>
              <wp:positionV relativeFrom="paragraph">
                <wp:posOffset>15240</wp:posOffset>
              </wp:positionV>
              <wp:extent cx="581025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BBD7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2pt" to="50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t9EAIAACg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numPicBullet w:numPicBulletId="1">
    <w:pict>
      <v:shape id="_x0000_i1031" type="#_x0000_t75" style="width:11.25pt;height:11.25pt" o:bullet="t">
        <v:imagedata r:id="rId2" o:title="j0115864"/>
      </v:shape>
    </w:pict>
  </w:numPicBullet>
  <w:numPicBullet w:numPicBulletId="2">
    <w:pict>
      <v:shape id="_x0000_i1032" type="#_x0000_t75" style="width:9pt;height:9pt" o:bullet="t">
        <v:imagedata r:id="rId3" o:title="BD14515_"/>
      </v:shape>
    </w:pict>
  </w:numPicBullet>
  <w:numPicBullet w:numPicBulletId="3">
    <w:pict>
      <v:shape id="_x0000_i1033" type="#_x0000_t75" style="width:9pt;height:9pt" o:bullet="t">
        <v:imagedata r:id="rId4" o:title="BD10268_"/>
      </v:shape>
    </w:pict>
  </w:numPicBullet>
  <w:abstractNum w:abstractNumId="0" w15:restartNumberingAfterBreak="0">
    <w:nsid w:val="036B3DC6"/>
    <w:multiLevelType w:val="hybridMultilevel"/>
    <w:tmpl w:val="76B4626E"/>
    <w:lvl w:ilvl="0" w:tplc="F774BA3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98A2CD0"/>
    <w:multiLevelType w:val="hybridMultilevel"/>
    <w:tmpl w:val="AC1EAA7C"/>
    <w:lvl w:ilvl="0" w:tplc="EC10C45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4DA363A">
      <w:start w:val="1"/>
      <w:numFmt w:val="bullet"/>
      <w:lvlText w:val=""/>
      <w:lvlPicBulletId w:val="0"/>
      <w:lvlJc w:val="left"/>
      <w:pPr>
        <w:tabs>
          <w:tab w:val="num" w:pos="2160"/>
        </w:tabs>
        <w:ind w:left="2160" w:hanging="360"/>
      </w:pPr>
      <w:rPr>
        <w:rFonts w:ascii="Symbol" w:hAnsi="Symbol" w:hint="default"/>
        <w:color w:val="auto"/>
        <w:sz w:val="16"/>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D2DA5"/>
    <w:multiLevelType w:val="hybridMultilevel"/>
    <w:tmpl w:val="A55C5C7E"/>
    <w:lvl w:ilvl="0" w:tplc="B6FA08C4">
      <w:start w:val="1"/>
      <w:numFmt w:val="bullet"/>
      <w:lvlText w:val=""/>
      <w:lvlPicBulletId w:val="1"/>
      <w:lvlJc w:val="left"/>
      <w:pPr>
        <w:tabs>
          <w:tab w:val="num" w:pos="4320"/>
        </w:tabs>
        <w:ind w:left="4320" w:hanging="1440"/>
      </w:pPr>
      <w:rPr>
        <w:rFonts w:ascii="Symbol" w:hAnsi="Symbol" w:hint="default"/>
        <w:color w:val="auto"/>
      </w:rPr>
    </w:lvl>
    <w:lvl w:ilvl="1" w:tplc="F5B83862">
      <w:start w:val="1"/>
      <w:numFmt w:val="bullet"/>
      <w:lvlText w:val=""/>
      <w:lvlPicBulletId w:val="1"/>
      <w:lvlJc w:val="left"/>
      <w:pPr>
        <w:tabs>
          <w:tab w:val="num" w:pos="1440"/>
        </w:tabs>
        <w:ind w:left="2880" w:hanging="180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66C80"/>
    <w:multiLevelType w:val="hybridMultilevel"/>
    <w:tmpl w:val="5964B910"/>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BDA56A8">
      <w:start w:val="1"/>
      <w:numFmt w:val="bullet"/>
      <w:lvlText w:val=""/>
      <w:lvlPicBulletId w:val="1"/>
      <w:lvlJc w:val="left"/>
      <w:pPr>
        <w:tabs>
          <w:tab w:val="num" w:pos="3240"/>
        </w:tabs>
        <w:ind w:left="4680" w:hanging="28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F732C"/>
    <w:multiLevelType w:val="hybridMultilevel"/>
    <w:tmpl w:val="84DC69C6"/>
    <w:lvl w:ilvl="0" w:tplc="B6FA08C4">
      <w:start w:val="1"/>
      <w:numFmt w:val="bullet"/>
      <w:lvlText w:val=""/>
      <w:lvlPicBulletId w:val="1"/>
      <w:lvlJc w:val="left"/>
      <w:pPr>
        <w:tabs>
          <w:tab w:val="num" w:pos="4320"/>
        </w:tabs>
        <w:ind w:left="4320" w:hanging="1440"/>
      </w:pPr>
      <w:rPr>
        <w:rFonts w:ascii="Symbol" w:hAnsi="Symbol" w:hint="default"/>
        <w:color w:val="auto"/>
      </w:rPr>
    </w:lvl>
    <w:lvl w:ilvl="1" w:tplc="C3F41A20">
      <w:start w:val="1"/>
      <w:numFmt w:val="bullet"/>
      <w:lvlText w:val=""/>
      <w:lvlPicBulletId w:val="1"/>
      <w:lvlJc w:val="left"/>
      <w:pPr>
        <w:tabs>
          <w:tab w:val="num" w:pos="1440"/>
        </w:tabs>
        <w:ind w:left="252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60F16"/>
    <w:multiLevelType w:val="hybridMultilevel"/>
    <w:tmpl w:val="FC18B6C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287971E6"/>
    <w:multiLevelType w:val="hybridMultilevel"/>
    <w:tmpl w:val="B29A4764"/>
    <w:lvl w:ilvl="0" w:tplc="590208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51FB5"/>
    <w:multiLevelType w:val="multilevel"/>
    <w:tmpl w:val="84DC69C6"/>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1440"/>
        </w:tabs>
        <w:ind w:left="2520" w:hanging="14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22392"/>
    <w:multiLevelType w:val="hybridMultilevel"/>
    <w:tmpl w:val="AF3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56889"/>
    <w:multiLevelType w:val="multilevel"/>
    <w:tmpl w:val="D9226694"/>
    <w:lvl w:ilvl="0">
      <w:start w:val="1"/>
      <w:numFmt w:val="bullet"/>
      <w:lvlText w:val=""/>
      <w:lvlPicBulletId w:val="1"/>
      <w:lvlJc w:val="left"/>
      <w:pPr>
        <w:tabs>
          <w:tab w:val="num" w:pos="2880"/>
        </w:tabs>
        <w:ind w:left="4320" w:hanging="28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08B"/>
    <w:multiLevelType w:val="hybridMultilevel"/>
    <w:tmpl w:val="A4E22564"/>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5CC2F82">
      <w:start w:val="1"/>
      <w:numFmt w:val="bullet"/>
      <w:lvlText w:val=""/>
      <w:lvlPicBulletId w:val="1"/>
      <w:lvlJc w:val="left"/>
      <w:pPr>
        <w:tabs>
          <w:tab w:val="num" w:pos="2160"/>
        </w:tabs>
        <w:ind w:left="4680" w:hanging="288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33FCB"/>
    <w:multiLevelType w:val="multilevel"/>
    <w:tmpl w:val="386016D0"/>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2520"/>
        </w:tabs>
        <w:ind w:left="2520" w:hanging="14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65863"/>
    <w:multiLevelType w:val="hybridMultilevel"/>
    <w:tmpl w:val="42A2B39E"/>
    <w:lvl w:ilvl="0" w:tplc="B6FA08C4">
      <w:start w:val="1"/>
      <w:numFmt w:val="bullet"/>
      <w:lvlText w:val=""/>
      <w:lvlPicBulletId w:val="1"/>
      <w:lvlJc w:val="left"/>
      <w:pPr>
        <w:tabs>
          <w:tab w:val="num" w:pos="4320"/>
        </w:tabs>
        <w:ind w:left="4320" w:hanging="1440"/>
      </w:pPr>
      <w:rPr>
        <w:rFonts w:ascii="Symbol" w:hAnsi="Symbol" w:hint="default"/>
        <w:color w:val="auto"/>
      </w:rPr>
    </w:lvl>
    <w:lvl w:ilvl="1" w:tplc="E578D3D2">
      <w:start w:val="1"/>
      <w:numFmt w:val="bullet"/>
      <w:lvlText w:val=""/>
      <w:lvlPicBulletId w:val="1"/>
      <w:lvlJc w:val="left"/>
      <w:pPr>
        <w:tabs>
          <w:tab w:val="num" w:pos="1440"/>
        </w:tabs>
        <w:ind w:left="288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E5E57"/>
    <w:multiLevelType w:val="multilevel"/>
    <w:tmpl w:val="47CCC3F6"/>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A26F9"/>
    <w:multiLevelType w:val="hybridMultilevel"/>
    <w:tmpl w:val="BA6A123E"/>
    <w:lvl w:ilvl="0" w:tplc="15ACE7A8">
      <w:start w:val="1"/>
      <w:numFmt w:val="bullet"/>
      <w:lvlText w:val=""/>
      <w:lvlPicBulletId w:val="1"/>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B1D2B"/>
    <w:multiLevelType w:val="multilevel"/>
    <w:tmpl w:val="A55C5C7E"/>
    <w:lvl w:ilvl="0">
      <w:start w:val="1"/>
      <w:numFmt w:val="bullet"/>
      <w:lvlText w:val=""/>
      <w:lvlPicBulletId w:val="1"/>
      <w:lvlJc w:val="left"/>
      <w:pPr>
        <w:tabs>
          <w:tab w:val="num" w:pos="4320"/>
        </w:tabs>
        <w:ind w:left="4320" w:hanging="1440"/>
      </w:pPr>
      <w:rPr>
        <w:rFonts w:ascii="Symbol" w:hAnsi="Symbol" w:hint="default"/>
        <w:color w:val="auto"/>
      </w:rPr>
    </w:lvl>
    <w:lvl w:ilvl="1">
      <w:start w:val="1"/>
      <w:numFmt w:val="bullet"/>
      <w:lvlText w:val=""/>
      <w:lvlPicBulletId w:val="1"/>
      <w:lvlJc w:val="left"/>
      <w:pPr>
        <w:tabs>
          <w:tab w:val="num" w:pos="1440"/>
        </w:tabs>
        <w:ind w:left="2880" w:hanging="180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6530B"/>
    <w:multiLevelType w:val="hybridMultilevel"/>
    <w:tmpl w:val="47CCC3F6"/>
    <w:lvl w:ilvl="0" w:tplc="B6FA08C4">
      <w:start w:val="1"/>
      <w:numFmt w:val="bullet"/>
      <w:lvlText w:val=""/>
      <w:lvlPicBulletId w:val="1"/>
      <w:lvlJc w:val="left"/>
      <w:pPr>
        <w:tabs>
          <w:tab w:val="num" w:pos="4320"/>
        </w:tabs>
        <w:ind w:left="4320" w:hanging="14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11A4E"/>
    <w:multiLevelType w:val="hybridMultilevel"/>
    <w:tmpl w:val="A57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B4E63"/>
    <w:multiLevelType w:val="hybridMultilevel"/>
    <w:tmpl w:val="D9226694"/>
    <w:lvl w:ilvl="0" w:tplc="5BDA56A8">
      <w:start w:val="1"/>
      <w:numFmt w:val="bullet"/>
      <w:lvlText w:val=""/>
      <w:lvlPicBulletId w:val="1"/>
      <w:lvlJc w:val="left"/>
      <w:pPr>
        <w:tabs>
          <w:tab w:val="num" w:pos="2880"/>
        </w:tabs>
        <w:ind w:left="432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830DD"/>
    <w:multiLevelType w:val="hybridMultilevel"/>
    <w:tmpl w:val="B23667FA"/>
    <w:lvl w:ilvl="0" w:tplc="EC10C45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927C6"/>
    <w:multiLevelType w:val="multilevel"/>
    <w:tmpl w:val="B23667FA"/>
    <w:lvl w:ilvl="0">
      <w:start w:val="1"/>
      <w:numFmt w:val="bullet"/>
      <w:lvlText w:val=""/>
      <w:lvlJc w:val="left"/>
      <w:pPr>
        <w:tabs>
          <w:tab w:val="num" w:pos="3600"/>
        </w:tabs>
        <w:ind w:left="3600" w:hanging="360"/>
      </w:pPr>
      <w:rPr>
        <w:rFonts w:ascii="Symbol" w:hAnsi="Symbol" w:hint="default"/>
        <w:color w:val="000000"/>
        <w:sz w:val="16"/>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4777C"/>
    <w:multiLevelType w:val="hybridMultilevel"/>
    <w:tmpl w:val="386016D0"/>
    <w:lvl w:ilvl="0" w:tplc="B6FA08C4">
      <w:start w:val="1"/>
      <w:numFmt w:val="bullet"/>
      <w:lvlText w:val=""/>
      <w:lvlPicBulletId w:val="1"/>
      <w:lvlJc w:val="left"/>
      <w:pPr>
        <w:tabs>
          <w:tab w:val="num" w:pos="4320"/>
        </w:tabs>
        <w:ind w:left="4320" w:hanging="1440"/>
      </w:pPr>
      <w:rPr>
        <w:rFonts w:ascii="Symbol" w:hAnsi="Symbol" w:hint="default"/>
        <w:color w:val="auto"/>
      </w:rPr>
    </w:lvl>
    <w:lvl w:ilvl="1" w:tplc="B6FA08C4">
      <w:start w:val="1"/>
      <w:numFmt w:val="bullet"/>
      <w:lvlText w:val=""/>
      <w:lvlPicBulletId w:val="1"/>
      <w:lvlJc w:val="left"/>
      <w:pPr>
        <w:tabs>
          <w:tab w:val="num" w:pos="2520"/>
        </w:tabs>
        <w:ind w:left="2520" w:hanging="14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A6530"/>
    <w:multiLevelType w:val="multilevel"/>
    <w:tmpl w:val="5964B910"/>
    <w:lvl w:ilvl="0">
      <w:start w:val="1"/>
      <w:numFmt w:val="bullet"/>
      <w:lvlText w:val=""/>
      <w:lvlPicBulletId w:val="1"/>
      <w:lvlJc w:val="left"/>
      <w:pPr>
        <w:tabs>
          <w:tab w:val="num" w:pos="2880"/>
        </w:tabs>
        <w:ind w:left="4320" w:hanging="28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1"/>
      <w:lvlJc w:val="left"/>
      <w:pPr>
        <w:tabs>
          <w:tab w:val="num" w:pos="3240"/>
        </w:tabs>
        <w:ind w:left="4680" w:hanging="288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
  </w:num>
  <w:num w:numId="4">
    <w:abstractNumId w:val="14"/>
  </w:num>
  <w:num w:numId="5">
    <w:abstractNumId w:val="16"/>
  </w:num>
  <w:num w:numId="6">
    <w:abstractNumId w:val="13"/>
  </w:num>
  <w:num w:numId="7">
    <w:abstractNumId w:val="21"/>
  </w:num>
  <w:num w:numId="8">
    <w:abstractNumId w:val="11"/>
  </w:num>
  <w:num w:numId="9">
    <w:abstractNumId w:val="4"/>
  </w:num>
  <w:num w:numId="10">
    <w:abstractNumId w:val="7"/>
  </w:num>
  <w:num w:numId="11">
    <w:abstractNumId w:val="2"/>
  </w:num>
  <w:num w:numId="12">
    <w:abstractNumId w:val="15"/>
  </w:num>
  <w:num w:numId="13">
    <w:abstractNumId w:val="12"/>
  </w:num>
  <w:num w:numId="14">
    <w:abstractNumId w:val="18"/>
  </w:num>
  <w:num w:numId="15">
    <w:abstractNumId w:val="9"/>
  </w:num>
  <w:num w:numId="16">
    <w:abstractNumId w:val="3"/>
  </w:num>
  <w:num w:numId="17">
    <w:abstractNumId w:val="22"/>
  </w:num>
  <w:num w:numId="18">
    <w:abstractNumId w:val="10"/>
  </w:num>
  <w:num w:numId="19">
    <w:abstractNumId w:val="5"/>
  </w:num>
  <w:num w:numId="20">
    <w:abstractNumId w:val="8"/>
  </w:num>
  <w:num w:numId="21">
    <w:abstractNumId w:val="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5C"/>
    <w:rsid w:val="000016D3"/>
    <w:rsid w:val="000206D9"/>
    <w:rsid w:val="000B39C0"/>
    <w:rsid w:val="000C2BAF"/>
    <w:rsid w:val="000D461B"/>
    <w:rsid w:val="000E67E8"/>
    <w:rsid w:val="000F56AA"/>
    <w:rsid w:val="001171F1"/>
    <w:rsid w:val="00132B09"/>
    <w:rsid w:val="00172E15"/>
    <w:rsid w:val="001B20E0"/>
    <w:rsid w:val="001F39FE"/>
    <w:rsid w:val="002063DE"/>
    <w:rsid w:val="00247B71"/>
    <w:rsid w:val="002568A4"/>
    <w:rsid w:val="002853EC"/>
    <w:rsid w:val="002D3F35"/>
    <w:rsid w:val="002E79E0"/>
    <w:rsid w:val="002F121F"/>
    <w:rsid w:val="003135D6"/>
    <w:rsid w:val="003C13B7"/>
    <w:rsid w:val="003C1FC5"/>
    <w:rsid w:val="003C5218"/>
    <w:rsid w:val="003E11FD"/>
    <w:rsid w:val="00400F80"/>
    <w:rsid w:val="00406CA1"/>
    <w:rsid w:val="004B7275"/>
    <w:rsid w:val="004E40B1"/>
    <w:rsid w:val="004E511A"/>
    <w:rsid w:val="004F0181"/>
    <w:rsid w:val="005032AC"/>
    <w:rsid w:val="00547209"/>
    <w:rsid w:val="00576CED"/>
    <w:rsid w:val="0059522D"/>
    <w:rsid w:val="005C60DE"/>
    <w:rsid w:val="005E1C08"/>
    <w:rsid w:val="00616774"/>
    <w:rsid w:val="00633A3C"/>
    <w:rsid w:val="00662985"/>
    <w:rsid w:val="00670572"/>
    <w:rsid w:val="006955D2"/>
    <w:rsid w:val="006A3A4C"/>
    <w:rsid w:val="007061C1"/>
    <w:rsid w:val="007332D5"/>
    <w:rsid w:val="007557DC"/>
    <w:rsid w:val="00772348"/>
    <w:rsid w:val="00774814"/>
    <w:rsid w:val="007751F3"/>
    <w:rsid w:val="00783CB0"/>
    <w:rsid w:val="0078462E"/>
    <w:rsid w:val="0078613B"/>
    <w:rsid w:val="00797BE5"/>
    <w:rsid w:val="00801073"/>
    <w:rsid w:val="008157E7"/>
    <w:rsid w:val="00817F87"/>
    <w:rsid w:val="00873852"/>
    <w:rsid w:val="0088760E"/>
    <w:rsid w:val="008B4AC8"/>
    <w:rsid w:val="008B78BB"/>
    <w:rsid w:val="008D4FD1"/>
    <w:rsid w:val="0094459A"/>
    <w:rsid w:val="009722E1"/>
    <w:rsid w:val="00973A27"/>
    <w:rsid w:val="00991876"/>
    <w:rsid w:val="009A28C5"/>
    <w:rsid w:val="009B1F49"/>
    <w:rsid w:val="009D5DC0"/>
    <w:rsid w:val="00A10EC7"/>
    <w:rsid w:val="00A3334C"/>
    <w:rsid w:val="00A77EAC"/>
    <w:rsid w:val="00A94F56"/>
    <w:rsid w:val="00AA0A5B"/>
    <w:rsid w:val="00AA2D5E"/>
    <w:rsid w:val="00AB1E5D"/>
    <w:rsid w:val="00AD75FD"/>
    <w:rsid w:val="00AE2B13"/>
    <w:rsid w:val="00B01BE9"/>
    <w:rsid w:val="00B1259F"/>
    <w:rsid w:val="00B33F9E"/>
    <w:rsid w:val="00B529BB"/>
    <w:rsid w:val="00B72621"/>
    <w:rsid w:val="00B901E1"/>
    <w:rsid w:val="00BB0EB5"/>
    <w:rsid w:val="00BD0481"/>
    <w:rsid w:val="00BD14EC"/>
    <w:rsid w:val="00BD4064"/>
    <w:rsid w:val="00C07A81"/>
    <w:rsid w:val="00C46147"/>
    <w:rsid w:val="00C6555C"/>
    <w:rsid w:val="00C82BBE"/>
    <w:rsid w:val="00CB1962"/>
    <w:rsid w:val="00D0052C"/>
    <w:rsid w:val="00D20A8C"/>
    <w:rsid w:val="00D332B1"/>
    <w:rsid w:val="00D62C0A"/>
    <w:rsid w:val="00D640A4"/>
    <w:rsid w:val="00D9274C"/>
    <w:rsid w:val="00DB5A3E"/>
    <w:rsid w:val="00E1104B"/>
    <w:rsid w:val="00E24D3B"/>
    <w:rsid w:val="00E306A9"/>
    <w:rsid w:val="00E42352"/>
    <w:rsid w:val="00E464F8"/>
    <w:rsid w:val="00E73B5D"/>
    <w:rsid w:val="00E8614D"/>
    <w:rsid w:val="00ED5145"/>
    <w:rsid w:val="00F01B35"/>
    <w:rsid w:val="00F066B7"/>
    <w:rsid w:val="00F45CAE"/>
    <w:rsid w:val="00F5291C"/>
    <w:rsid w:val="00F93E9B"/>
    <w:rsid w:val="00FA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5DFA"/>
  <w15:docId w15:val="{AB555B6B-C85E-4E17-A53C-EE60F38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1FD"/>
    <w:rPr>
      <w:sz w:val="24"/>
      <w:szCs w:val="24"/>
    </w:rPr>
  </w:style>
  <w:style w:type="paragraph" w:styleId="Heading1">
    <w:name w:val="heading 1"/>
    <w:basedOn w:val="Normal"/>
    <w:next w:val="Normal"/>
    <w:qFormat/>
    <w:rsid w:val="003E11FD"/>
    <w:pPr>
      <w:keepNext/>
      <w:outlineLvl w:val="0"/>
    </w:pPr>
    <w:rPr>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1FD"/>
    <w:pPr>
      <w:tabs>
        <w:tab w:val="center" w:pos="4320"/>
        <w:tab w:val="right" w:pos="8640"/>
      </w:tabs>
    </w:pPr>
  </w:style>
  <w:style w:type="paragraph" w:styleId="Footer">
    <w:name w:val="footer"/>
    <w:basedOn w:val="Normal"/>
    <w:link w:val="FooterChar"/>
    <w:uiPriority w:val="99"/>
    <w:rsid w:val="003E11FD"/>
    <w:pPr>
      <w:tabs>
        <w:tab w:val="center" w:pos="4320"/>
        <w:tab w:val="right" w:pos="8640"/>
      </w:tabs>
    </w:pPr>
  </w:style>
  <w:style w:type="paragraph" w:styleId="BalloonText">
    <w:name w:val="Balloon Text"/>
    <w:basedOn w:val="Normal"/>
    <w:semiHidden/>
    <w:rsid w:val="001F39FE"/>
    <w:rPr>
      <w:rFonts w:ascii="Tahoma" w:hAnsi="Tahoma" w:cs="Tahoma"/>
      <w:sz w:val="16"/>
      <w:szCs w:val="16"/>
    </w:rPr>
  </w:style>
  <w:style w:type="character" w:styleId="Hyperlink">
    <w:name w:val="Hyperlink"/>
    <w:basedOn w:val="DefaultParagraphFont"/>
    <w:rsid w:val="00AE2B13"/>
    <w:rPr>
      <w:color w:val="0000FF"/>
      <w:u w:val="single"/>
    </w:rPr>
  </w:style>
  <w:style w:type="character" w:customStyle="1" w:styleId="FooterChar">
    <w:name w:val="Footer Char"/>
    <w:basedOn w:val="DefaultParagraphFont"/>
    <w:link w:val="Footer"/>
    <w:uiPriority w:val="99"/>
    <w:rsid w:val="00AB1E5D"/>
    <w:rPr>
      <w:sz w:val="24"/>
      <w:szCs w:val="24"/>
    </w:rPr>
  </w:style>
  <w:style w:type="paragraph" w:styleId="ListParagraph">
    <w:name w:val="List Paragraph"/>
    <w:basedOn w:val="Normal"/>
    <w:uiPriority w:val="34"/>
    <w:qFormat/>
    <w:rsid w:val="00797BE5"/>
    <w:pPr>
      <w:ind w:left="720"/>
      <w:contextualSpacing/>
    </w:pPr>
  </w:style>
  <w:style w:type="character" w:customStyle="1" w:styleId="xbe">
    <w:name w:val="_xbe"/>
    <w:basedOn w:val="DefaultParagraphFont"/>
    <w:rsid w:val="008B78BB"/>
  </w:style>
  <w:style w:type="character" w:customStyle="1" w:styleId="HeaderChar">
    <w:name w:val="Header Char"/>
    <w:basedOn w:val="DefaultParagraphFont"/>
    <w:link w:val="Header"/>
    <w:uiPriority w:val="99"/>
    <w:rsid w:val="007557DC"/>
    <w:rPr>
      <w:sz w:val="24"/>
      <w:szCs w:val="24"/>
    </w:rPr>
  </w:style>
  <w:style w:type="character" w:styleId="CommentReference">
    <w:name w:val="annotation reference"/>
    <w:basedOn w:val="DefaultParagraphFont"/>
    <w:semiHidden/>
    <w:unhideWhenUsed/>
    <w:rsid w:val="00774814"/>
    <w:rPr>
      <w:sz w:val="16"/>
      <w:szCs w:val="16"/>
    </w:rPr>
  </w:style>
  <w:style w:type="paragraph" w:styleId="CommentText">
    <w:name w:val="annotation text"/>
    <w:basedOn w:val="Normal"/>
    <w:link w:val="CommentTextChar"/>
    <w:semiHidden/>
    <w:unhideWhenUsed/>
    <w:rsid w:val="00774814"/>
    <w:rPr>
      <w:sz w:val="20"/>
      <w:szCs w:val="20"/>
    </w:rPr>
  </w:style>
  <w:style w:type="character" w:customStyle="1" w:styleId="CommentTextChar">
    <w:name w:val="Comment Text Char"/>
    <w:basedOn w:val="DefaultParagraphFont"/>
    <w:link w:val="CommentText"/>
    <w:semiHidden/>
    <w:rsid w:val="00774814"/>
  </w:style>
  <w:style w:type="paragraph" w:styleId="CommentSubject">
    <w:name w:val="annotation subject"/>
    <w:basedOn w:val="CommentText"/>
    <w:next w:val="CommentText"/>
    <w:link w:val="CommentSubjectChar"/>
    <w:semiHidden/>
    <w:unhideWhenUsed/>
    <w:rsid w:val="00774814"/>
    <w:rPr>
      <w:b/>
      <w:bCs/>
    </w:rPr>
  </w:style>
  <w:style w:type="character" w:customStyle="1" w:styleId="CommentSubjectChar">
    <w:name w:val="Comment Subject Char"/>
    <w:basedOn w:val="CommentTextChar"/>
    <w:link w:val="CommentSubject"/>
    <w:semiHidden/>
    <w:rsid w:val="0077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82.pdf%20" TargetMode="External"/><Relationship Id="rId13" Type="http://schemas.openxmlformats.org/officeDocument/2006/relationships/hyperlink" Target="http://r20.rs6.net/tn.jsp?f=001AWFuuZ7gFbI-nhU3yaDtq9WotazOyNas8Th9ZCIfSI_RKeJbpVYTQt5L0xuzaKnfoa7XwZLaf_j8uJ8pHSHOvzS1-Cmj_IUockxSJiRFRfoiweAcsDuinqoKqJVZ-G_wI_0-sSmPVWaFXgnTrACd7xKaNGAbRxyno_OHTs0SwKEWmBueKhvpeUyy3xtRExFbkAvYpbmeELYZZXVjYAvXt1KMw3MvEYAs-RCo5h_BkJX8PnTkSEI0Gg==&amp;c=wQ90RqIFjLX-k8VtpuUWLLAHhTjLl4VKnQjxYxPcIv36k_OBLSJsLA==&amp;ch=wACKjuipppp4d4ilG5Ghpw-WPzxWa1vg0W7K-JHcagu8JfH9tFrNY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rma.org/page/vrhp/vrma-cleaning-guidelines-for-covid-19"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r20.rs6.net/tn.jsp?f=001AWFuuZ7gFbI-nhU3yaDtq9WotazOyNas8Th9ZCIfSI_RKeJbpVYTQtTgvfFRQsCA0TN5H4MUJAJsPuDqOR-c56C3BOrympMlrvDvaL0RObWHHthjaHt3MxM_h8ZWaVtIdeMUo88iMaVeLfZ40t2hoC214BW7kbo77UYs-MLn8T6RkIcjgQKuxVXr44QEzrzZ7NDaxCd9qNWG_jrtw2v2iE5KgQOzUG7h2spxU8x1jKmcie0VFHHh_6ypPGzNsDJuaTy5lCDriZaxhtazSvMBpbz_4XvyG2SE&amp;c=wQ90RqIFjLX-k8VtpuUWLLAHhTjLl4VKnQjxYxPcIv36k_OBLSJsLA==&amp;ch=wACKjuipppp4d4ilG5Ghpw-WPzxWa1vg0W7K-JHcagu8JfH9tFrNY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AWFuuZ7gFbI-nhU3yaDtq9WotazOyNas8Th9ZCIfSI_RKeJbpVYTQtTgvfFRQsCAinx6qoRWDq0KYVc7I2XAlkLItYPPjkDm7HOx5COCwvupCX9xq06vs5snL-a0XfLAu4Ge3Dt8YQhVIzgMSW8V5kt63vqG_w7mUb5cXoU-9BgTR7zGy2W1HPgu_PsKtJ0ZnQWdnmLlEZ-qBXq7YgSrLFL3hRwL5CULI94Zz671yPDbHb6pZ6t8LjyiU4L5oXCI&amp;c=wQ90RqIFjLX-k8VtpuUWLLAHhTjLl4VKnQjxYxPcIv36k_OBLSJsLA==&amp;ch=wACKjuipppp4d4ilG5Ghpw-WPzxWa1vg0W7K-JHcagu8JfH9tFrNYw==" TargetMode="External"/><Relationship Id="rId5" Type="http://schemas.openxmlformats.org/officeDocument/2006/relationships/webSettings" Target="webSettings.xml"/><Relationship Id="rId15" Type="http://schemas.openxmlformats.org/officeDocument/2006/relationships/hyperlink" Target="http://r20.rs6.net/tn.jsp?f=001AWFuuZ7gFbI-nhU3yaDtq9WotazOyNas8Th9ZCIfSI_RKeJbpVYTQtTgvfFRQsCAr7WvvtPpkHhKxuz_AgHKTdmc8lVO4GhjqjxZOjzGIqQncw70p8q87XNxC8bLjAUJAxs0cIB6mgd22uCP6j8oTUP-tfek8I-0xDO_ufHzYGd7j-kwdONiIr6gAO9Dsq8KhVPe7AWw7ef3gTM-Ajtdd02xMuboIlJJXpUFoYsVAB6OC6J9zNAxkg==&amp;c=wQ90RqIFjLX-k8VtpuUWLLAHhTjLl4VKnQjxYxPcIv36k_OBLSJsLA==&amp;ch=wACKjuipppp4d4ilG5Ghpw-WPzxWa1vg0W7K-JHcagu8JfH9tFrNYw==" TargetMode="External"/><Relationship Id="rId10" Type="http://schemas.openxmlformats.org/officeDocument/2006/relationships/hyperlink" Target="http://www.co.okaloosa.fl.us/bcc/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gov.com/wp-content/uploads/orders/2020/EO_20-86.pdf" TargetMode="External"/><Relationship Id="rId14" Type="http://schemas.openxmlformats.org/officeDocument/2006/relationships/hyperlink" Target="http://r20.rs6.net/tn.jsp?f=001AWFuuZ7gFbI-nhU3yaDtq9WotazOyNas8Th9ZCIfSI_RKeJbpVYTQtTgvfFRQsCArnu2vjfzPSN7fRwJThtTVaCNhQG15BUBGlmwhAr2uti_VuL8dI6bF50JKrzWcHXbysBEh7pMA4w2OxBFoaQdGHt5ggP9R-PJfv-QqPeJgPDlRwgLPOwASrO0Idu0qA0tcLuEw6GoAFBWSZrJgBg-okgyxrfhRyO3PQR0aFGZsju1MRC6xi-3qKlIdAD687LP&amp;c=wQ90RqIFjLX-k8VtpuUWLLAHhTjLl4VKnQjxYxPcIv36k_OBLSJsLA==&amp;ch=wACKjuipppp4d4ilG5Ghpw-WPzxWa1vg0W7K-JHcagu8JfH9tFrNY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22F2E-0AE9-4A6D-831F-B3B754FA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of Florida</vt:lpstr>
    </vt:vector>
  </TitlesOfParts>
  <Company>Okaloosa County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BCC Administration</dc:creator>
  <cp:lastModifiedBy>April Sarver</cp:lastModifiedBy>
  <cp:revision>2</cp:revision>
  <cp:lastPrinted>2020-03-13T21:22:00Z</cp:lastPrinted>
  <dcterms:created xsi:type="dcterms:W3CDTF">2020-05-19T16:13:00Z</dcterms:created>
  <dcterms:modified xsi:type="dcterms:W3CDTF">2020-05-19T16:13:00Z</dcterms:modified>
</cp:coreProperties>
</file>